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60E4" w:rsidR="00ED60E4" w:rsidP="00ED60E4" w:rsidRDefault="00ED60E4" w14:paraId="455DFD04" w14:textId="2BC41B70">
      <w:pPr>
        <w:shd w:val="clear" w:color="auto" w:fill="FFFFFF"/>
        <w:spacing w:after="100" w:afterAutospacing="1" w:line="240" w:lineRule="auto"/>
        <w:outlineLvl w:val="0"/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</w:pPr>
      <w:proofErr w:type="spellStart"/>
      <w:r w:rsidRPr="00ED60E4"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  <w:t>Kap</w:t>
      </w:r>
      <w:proofErr w:type="spellEnd"/>
      <w:r w:rsidRPr="00ED60E4"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  <w:t xml:space="preserve"> 2 – STIGA N</w:t>
      </w:r>
      <w:r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  <w:t>orway To</w:t>
      </w:r>
      <w:r w:rsidR="00587ACD">
        <w:rPr>
          <w:rFonts w:ascii="Arial" w:hAnsi="Arial" w:eastAsia="Times New Roman" w:cs="Arial"/>
          <w:b/>
          <w:bCs/>
          <w:color w:val="4D4D4D"/>
          <w:kern w:val="36"/>
          <w:sz w:val="48"/>
          <w:szCs w:val="48"/>
          <w:lang w:eastAsia="nb-NO"/>
          <w14:ligatures w14:val="none"/>
        </w:rPr>
        <w:t>p</w:t>
      </w:r>
    </w:p>
    <w:p w:rsidRPr="00ED60E4" w:rsidR="00ED60E4" w:rsidP="00ED60E4" w:rsidRDefault="00ED60E4" w14:paraId="41C05C24" w14:textId="77777777">
      <w:pPr>
        <w:shd w:val="clear" w:color="auto" w:fill="FFFFFF"/>
        <w:spacing w:line="240" w:lineRule="auto"/>
        <w:rPr>
          <w:rFonts w:ascii="Arial" w:hAnsi="Arial" w:eastAsia="Times New Roman" w:cs="Arial"/>
          <w:i/>
          <w:iCs/>
          <w:color w:val="777777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i/>
          <w:iCs/>
          <w:color w:val="777777"/>
          <w:kern w:val="0"/>
          <w:sz w:val="24"/>
          <w:szCs w:val="24"/>
          <w:lang w:eastAsia="nb-NO"/>
          <w14:ligatures w14:val="none"/>
        </w:rPr>
        <w:t> </w:t>
      </w:r>
    </w:p>
    <w:p w:rsidR="00A90449" w:rsidP="00ED60E4" w:rsidRDefault="00A90449" w14:paraId="0BEB7032" w14:textId="2B3F53BE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</w:pPr>
      <w:r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2.0 OM NORWAY TO</w:t>
      </w:r>
      <w:r w:rsidR="00BC3CCF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P</w:t>
      </w:r>
    </w:p>
    <w:p w:rsidR="00394D07" w:rsidP="00ED60E4" w:rsidRDefault="00A90449" w14:paraId="3CE0EDE9" w14:textId="6DF391FA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Dette reglementet erstatter tilleggsbestemmelsene for STIGA Norgescup i sesongen 25/26 og 26/27. </w:t>
      </w:r>
    </w:p>
    <w:p w:rsidR="00A90449" w:rsidP="3A50A9EF" w:rsidRDefault="00A90449" w14:paraId="2C63783D" w14:textId="2992FCFB">
      <w:pPr>
        <w:shd w:val="clear" w:color="auto" w:fill="FFFFFF" w:themeFill="background1"/>
        <w:spacing w:after="100" w:afterAutospacing="on" w:line="240" w:lineRule="auto"/>
        <w:outlineLvl w:val="1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="00A9044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I en prøveperiode erstattes STIGA Norgescup og STIGA Norgescupfinalen med </w:t>
      </w:r>
      <w:r w:rsidR="2792C421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STIGA </w:t>
      </w:r>
      <w:r w:rsidR="00A9044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Norway To</w:t>
      </w:r>
      <w:r w:rsidR="00BC3CC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</w:t>
      </w:r>
      <w:r w:rsidR="00A9044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og </w:t>
      </w:r>
      <w:r w:rsidR="09728F8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STIGA </w:t>
      </w:r>
      <w:r w:rsidR="00A9044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Norway To</w:t>
      </w:r>
      <w:r w:rsidR="00BC3CC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</w:t>
      </w:r>
      <w:r w:rsidR="00A9044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</w:t>
      </w:r>
      <w:r w:rsidR="00394D07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Trophy</w:t>
      </w:r>
      <w:r w:rsidR="4F473ADE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(egen tilleggsbestemmelse)</w:t>
      </w:r>
      <w:r w:rsidR="00A9044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.</w:t>
      </w:r>
    </w:p>
    <w:p w:rsidRPr="00394D07" w:rsidR="004152BD" w:rsidP="00ED60E4" w:rsidRDefault="004152BD" w14:paraId="444F1558" w14:textId="77777777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</w:p>
    <w:p w:rsidRPr="00ED60E4" w:rsidR="00ED60E4" w:rsidP="00ED60E4" w:rsidRDefault="00ED60E4" w14:paraId="0B9BBB2E" w14:textId="623BD4E6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2.1 ARRANGEMENT</w:t>
      </w:r>
    </w:p>
    <w:p w:rsidRPr="00ED60E4" w:rsidR="00ED60E4" w:rsidP="00ED60E4" w:rsidRDefault="00ED60E4" w14:paraId="70688EFA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2.1.1 SPILLEHALL</w:t>
      </w:r>
    </w:p>
    <w:p w:rsidRPr="00ED60E4" w:rsidR="00ED60E4" w:rsidP="00ED60E4" w:rsidRDefault="00ED60E4" w14:paraId="764200A8" w14:textId="18AEF036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NBTF, eller den som bemyndiger, skal godkjenne spillehallen ved tildeling av arrangementet. Tilgjengelighet for spillere med en funksjonsnedsettelse skal ivaretas.</w:t>
      </w:r>
      <w:r w:rsidR="004152BD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Det skal være gode fasiliteter for publikum.</w:t>
      </w: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Ved eventuell flytting til ny spillehall skal arrangøren søke TD om godkjenning av ny hall. </w:t>
      </w:r>
    </w:p>
    <w:p w:rsidRPr="00ED60E4" w:rsidR="00ED60E4" w:rsidP="00ED60E4" w:rsidRDefault="00ED60E4" w14:paraId="5D202657" w14:textId="0C55748D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2.1.2 ANTALL SN</w:t>
      </w:r>
      <w:r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T</w:t>
      </w:r>
      <w:r w:rsidR="00E6425E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OG TILKNYTNING TIL SWEDEN TOUR</w:t>
      </w:r>
    </w:p>
    <w:p w:rsidR="00ED60E4" w:rsidP="3A50A9EF" w:rsidRDefault="00ED60E4" w14:paraId="685F2320" w14:textId="6A14DA4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 arrangeres</w:t>
      </w:r>
      <w:r w:rsidRPr="00ED60E4" w:rsidR="453F46B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minst</w:t>
      </w: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3</w:t>
      </w:r>
      <w:r w:rsidR="00394D07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-4</w:t>
      </w: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SN</w:t>
      </w:r>
      <w:r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</w:t>
      </w: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-stevner per spilleår.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394D07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</w:t>
      </w:r>
      <w:r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tevnene kan være knyttet til </w:t>
      </w:r>
      <w:r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r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</w:t>
      </w:r>
      <w:r w:rsidR="00BD04A2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, etter avtale mellom NBTF og SBTF</w:t>
      </w:r>
      <w:r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. Disse vil</w:t>
      </w:r>
      <w:r w:rsidR="007F783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da</w:t>
      </w:r>
      <w:r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være underlagt direktiv for </w:t>
      </w:r>
      <w:r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r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Tour.</w:t>
      </w:r>
      <w:r w:rsidR="005D59C9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Direktivet vil ha rang foran disse tilleggsbestemmelsene, der det er motstrid. </w:t>
      </w:r>
    </w:p>
    <w:p w:rsidRPr="00ED60E4" w:rsidR="00E6425E" w:rsidP="00ED60E4" w:rsidRDefault="00F16DE7" w14:paraId="4E01B88F" w14:textId="4BC5BD6F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Øvrige stevner i SNT er frittstående, og følger norsk regelverk.</w:t>
      </w:r>
    </w:p>
    <w:p w:rsidRPr="00ED60E4" w:rsidR="00ED60E4" w:rsidP="00ED60E4" w:rsidRDefault="00ED60E4" w14:paraId="7FF62EE9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2.1.3 INVITASJON</w:t>
      </w:r>
    </w:p>
    <w:p w:rsidR="00394D07" w:rsidP="00ED60E4" w:rsidRDefault="00ED60E4" w14:paraId="6459D475" w14:textId="20B30B93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Arrangøren skal sende utkast til invitasjon til TD for godkjenning minst en uke før planlagt utsending/offentliggjøring.</w:t>
      </w:r>
      <w:r w:rsidR="00CA5A20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Turneringene er åpne for norske og utenlandske spillere.</w:t>
      </w:r>
    </w:p>
    <w:p w:rsidR="00F16DE7" w:rsidP="3A50A9EF" w:rsidRDefault="00F16DE7" w14:paraId="3C83B226" w14:noSpellErr="1" w14:textId="3A3C9B17">
      <w:pPr>
        <w:pStyle w:val="Normal"/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</w:p>
    <w:p w:rsidRPr="00ED60E4" w:rsidR="00F16DE7" w:rsidP="00ED60E4" w:rsidRDefault="00F16DE7" w14:paraId="3E0CC456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</w:p>
    <w:p w:rsidRPr="00ED60E4" w:rsidR="00ED60E4" w:rsidP="00ED60E4" w:rsidRDefault="00ED60E4" w14:paraId="20CB4B04" w14:textId="2698D81C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2.1.4 SN</w:t>
      </w:r>
      <w:r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T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-KLASSER</w:t>
      </w:r>
    </w:p>
    <w:p w:rsidRPr="008F522A" w:rsidR="00ED60E4" w:rsidP="00ED60E4" w:rsidRDefault="00ED60E4" w14:paraId="4783683D" w14:textId="60E3AA9B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 xml:space="preserve">Følgende klasser </w:t>
      </w:r>
      <w:r w:rsidRPr="008F522A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skal gjennomføres</w:t>
      </w:r>
      <w:r w:rsidRPr="008F522A" w:rsidR="00B71CF7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 xml:space="preserve"> i stevner som er tilknyttet </w:t>
      </w:r>
      <w:proofErr w:type="spellStart"/>
      <w:r w:rsidRPr="008F522A" w:rsidR="00B71CF7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 w:rsidRPr="008F522A" w:rsidR="00B71CF7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 xml:space="preserve"> Tour</w:t>
      </w:r>
      <w:r w:rsidRPr="008F522A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:</w:t>
      </w:r>
    </w:p>
    <w:p w:rsidR="00DD76A4" w:rsidP="00ED60E4" w:rsidRDefault="00ED60E4" w14:paraId="3BB15DB1" w14:textId="52DAFCCF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Herrer single (HS)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Damer single (DS)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Herrer 20 (H20)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Damer 20 (D20)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Herrer junior 18 (HJ18)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Damer junior 18 (DJ18)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Gutter 16 (G16)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Jenter 16 (J16)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Gutter 14 (G14)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Jenter 14 (J14)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Gutter 12 (G12)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Jenter 12 (J12)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Para åpen (PÅ)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Para stående (PS)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Para sittende (PSI)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Para åpen 1</w:t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4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(PÅ1</w:t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4</w:t>
      </w:r>
      <w:r w:rsidR="00DD76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)</w:t>
      </w:r>
    </w:p>
    <w:p w:rsidR="00B71CF7" w:rsidP="3A50A9EF" w:rsidRDefault="00B71CF7" w14:paraId="3C220B01" w14:textId="0D423A94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="00B71CF7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I tillegg kan det legges inn Herrer double (HD), Damer double (DD) samt Mixed double (XD).</w:t>
      </w:r>
      <w:r w:rsidR="008D3DC2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Alle klasser unntatt double og para gir poeng i </w:t>
      </w:r>
      <w:r w:rsidR="008D3DC2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r w:rsidR="008D3DC2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Tour.</w:t>
      </w:r>
    </w:p>
    <w:p w:rsidR="3A50A9EF" w:rsidP="3A50A9EF" w:rsidRDefault="3A50A9EF" w14:paraId="1BDCE344" w14:textId="108763C6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8F522A" w:rsidR="00BB33EA" w:rsidP="00ED60E4" w:rsidRDefault="00BB33EA" w14:paraId="1A8224CA" w14:textId="08633073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</w:pPr>
      <w:r w:rsidRPr="008F522A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 xml:space="preserve">Følgende klasser skal gjennomføres i stevner som ikke er tilknyttet </w:t>
      </w:r>
      <w:proofErr w:type="spellStart"/>
      <w:r w:rsidRPr="008F522A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 w:rsidRPr="008F522A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 xml:space="preserve"> Tour:</w:t>
      </w:r>
    </w:p>
    <w:p w:rsidRPr="00394D07" w:rsidR="00BB33EA" w:rsidP="00ED60E4" w:rsidRDefault="008F522A" w14:paraId="3D6FD526" w14:textId="4AA1104E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</w:pPr>
      <w:r w:rsidRPr="008F522A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Obligatoriske singleklasser:</w:t>
      </w:r>
      <w:r w:rsidR="00394D07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br/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Herrer single (HS)</w:t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Damer single (DS)</w:t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Gutter 14 (G14)</w:t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Jenter 14 (J14)</w:t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Para åpen (PÅ)</w:t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BB33E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Para åpen 14 (PÅ14)</w:t>
      </w:r>
    </w:p>
    <w:p w:rsidR="00BB33EA" w:rsidP="00ED60E4" w:rsidRDefault="00BB33EA" w14:paraId="7A08A57D" w14:textId="662519D8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Vinneren i hver av disse klassene er direkte kvalifisert til Norway Tour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Finals</w:t>
      </w:r>
      <w:proofErr w:type="spellEnd"/>
      <w:r w:rsidR="008F522A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(gullbillett)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.</w:t>
      </w:r>
    </w:p>
    <w:p w:rsidRPr="00394D07" w:rsidR="008F522A" w:rsidP="00ED60E4" w:rsidRDefault="008F522A" w14:paraId="2F9A5725" w14:textId="0B7122FC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</w:pPr>
      <w:proofErr w:type="spellStart"/>
      <w:r w:rsidRPr="008F522A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Rankingturnering</w:t>
      </w:r>
      <w:proofErr w:type="spellEnd"/>
      <w:r w:rsidRPr="008F522A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:</w:t>
      </w:r>
      <w:r w:rsidR="00394D07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Det skal gjennomføres en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rankingturnering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. 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Deltakerne deles inn etter ranking, med 25 spillere i hver klasse.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 spilles et innledende puljespill med 5 spillere i hver klasse.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Deretter et plasseringspuljespill med puljevinnere, puljetoere, puljetreere, puljefirere og puljefemmere. </w:t>
      </w:r>
    </w:p>
    <w:p w:rsidR="008F522A" w:rsidP="00ED60E4" w:rsidRDefault="008F522A" w14:paraId="63775BBA" w14:textId="23B4C556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 skal gjennomføres en egen nybegynnerklasse for spillere under lisenspliktig alder.</w:t>
      </w:r>
    </w:p>
    <w:p w:rsidRPr="004152BD" w:rsidR="00B71CF7" w:rsidP="00ED60E4" w:rsidRDefault="008F522A" w14:paraId="52705E8F" w14:textId="520762B4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</w:pPr>
      <w:r w:rsidRPr="008F522A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Innlagte klasser:</w:t>
      </w:r>
      <w:r w:rsidR="00394D07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Arrangør kan legge inn andre klasser.</w:t>
      </w:r>
    </w:p>
    <w:p w:rsidRPr="00ED60E4" w:rsidR="00ED60E4" w:rsidP="00ED60E4" w:rsidRDefault="00ED60E4" w14:paraId="7A09B7F0" w14:textId="1058DA0A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</w:t>
      </w:r>
    </w:p>
    <w:p w:rsidR="00ED60E4" w:rsidP="00ED60E4" w:rsidRDefault="00B320E3" w14:paraId="61E25C82" w14:textId="647D3715">
      <w:pPr>
        <w:shd w:val="clear" w:color="auto" w:fill="FFFFFF"/>
        <w:spacing w:after="100" w:afterAutospacing="1" w:line="240" w:lineRule="auto"/>
        <w:outlineLvl w:val="3"/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2</w:t>
      </w:r>
      <w:r w:rsidRPr="00B320E3" w:rsid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.1.</w:t>
      </w:r>
      <w:r w:rsidRPr="00B320E3" w:rsidR="005E06FB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5</w:t>
      </w:r>
      <w:r w:rsidRPr="00B320E3" w:rsid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DELTAKERBEGRENSNING</w:t>
      </w:r>
    </w:p>
    <w:p w:rsidRPr="004152BD" w:rsidR="004152BD" w:rsidP="00ED60E4" w:rsidRDefault="004152BD" w14:paraId="0C4B37B3" w14:textId="69058AD6">
      <w:pPr>
        <w:shd w:val="clear" w:color="auto" w:fill="FFFFFF"/>
        <w:spacing w:after="100" w:afterAutospacing="1" w:line="240" w:lineRule="auto"/>
        <w:outlineLvl w:val="3"/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</w:pPr>
      <w:r w:rsidRPr="004152BD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Antall klasser:</w:t>
      </w:r>
    </w:p>
    <w:p w:rsidR="004152BD" w:rsidP="00ED60E4" w:rsidRDefault="004152BD" w14:paraId="1BAF5E8F" w14:textId="5EF5870F">
      <w:pPr>
        <w:shd w:val="clear" w:color="auto" w:fill="FFFFFF"/>
        <w:spacing w:after="100" w:afterAutospacing="1" w:line="240" w:lineRule="auto"/>
        <w:outlineLvl w:val="3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En spiller kan delta i en valgfri aldersklasse, samt nærmeste høyere aldersklasse. </w:t>
      </w:r>
    </w:p>
    <w:p w:rsidR="004152BD" w:rsidP="00ED60E4" w:rsidRDefault="004152BD" w14:paraId="2DF1D42C" w14:textId="33A89F88">
      <w:pPr>
        <w:shd w:val="clear" w:color="auto" w:fill="FFFFFF"/>
        <w:spacing w:after="100" w:afterAutospacing="1" w:line="240" w:lineRule="auto"/>
        <w:outlineLvl w:val="3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Paraspillere kan maksimalt velge en para åpen-klasse, en skadeklasse (sittende/stående) og en aldersklasse.</w:t>
      </w:r>
    </w:p>
    <w:p w:rsidR="004152BD" w:rsidP="00ED60E4" w:rsidRDefault="004152BD" w14:paraId="0E967744" w14:textId="7EA841EF">
      <w:pPr>
        <w:shd w:val="clear" w:color="auto" w:fill="FFFFFF"/>
        <w:spacing w:after="100" w:afterAutospacing="1" w:line="240" w:lineRule="auto"/>
        <w:outlineLvl w:val="3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Dersom det arrangeres doubleklasser, kan disse begrenses til et</w:t>
      </w:r>
      <w:r w:rsidR="00E82878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spesifikt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antall par. </w:t>
      </w:r>
      <w:r w:rsidR="009B015B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f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.eks. åtte par i hver klasse.</w:t>
      </w:r>
    </w:p>
    <w:p w:rsidR="004152BD" w:rsidP="00ED60E4" w:rsidRDefault="004152BD" w14:paraId="12F4A596" w14:textId="7B72D217">
      <w:pPr>
        <w:shd w:val="clear" w:color="auto" w:fill="FFFFFF"/>
        <w:spacing w:after="100" w:afterAutospacing="1" w:line="240" w:lineRule="auto"/>
        <w:outlineLvl w:val="3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I frittstående stevner kan arrangøren sette egne begrensninger på deltakelse. Alle deltakere skal</w:t>
      </w:r>
      <w:r w:rsidR="009B015B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imidlertid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kunne delta i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rankingklasse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.</w:t>
      </w:r>
    </w:p>
    <w:p w:rsidRPr="004152BD" w:rsidR="004152BD" w:rsidP="00ED60E4" w:rsidRDefault="004152BD" w14:paraId="2C350964" w14:textId="3951662B">
      <w:pPr>
        <w:shd w:val="clear" w:color="auto" w:fill="FFFFFF"/>
        <w:spacing w:after="100" w:afterAutospacing="1" w:line="240" w:lineRule="auto"/>
        <w:outlineLvl w:val="3"/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</w:pPr>
      <w:r w:rsidRPr="004152BD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Antall spillere i hver klasse:</w:t>
      </w:r>
    </w:p>
    <w:p w:rsidRPr="00166F9D" w:rsidR="00ED60E4" w:rsidP="00166F9D" w:rsidRDefault="004152BD" w14:paraId="10C44DFA" w14:textId="177B3E85">
      <w:pPr>
        <w:shd w:val="clear" w:color="auto" w:fill="FFFFFF"/>
        <w:spacing w:after="100" w:afterAutospacing="1" w:line="240" w:lineRule="auto"/>
        <w:outlineLvl w:val="3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Arrangør kan </w:t>
      </w:r>
      <w:r w:rsidR="00E82878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ette et maksimalt antall på spillere i hver klasse</w:t>
      </w:r>
      <w:r w:rsidR="00E82878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, og henvise overskytende spillere til venteliste.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Ved venteliste går påmeldte spillere alltid foran etteranmeldte spillere.</w:t>
      </w:r>
    </w:p>
    <w:p w:rsidRPr="00ED60E4" w:rsidR="00ED60E4" w:rsidP="00ED60E4" w:rsidRDefault="00ED60E4" w14:paraId="78CEC90C" w14:textId="7DEB52B1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2.1.6 </w:t>
      </w:r>
      <w:r w:rsidR="00166F9D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ANTALL </w:t>
      </w:r>
      <w:r w:rsidR="009B015B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DAGER</w:t>
      </w:r>
    </w:p>
    <w:p w:rsidRPr="00ED60E4" w:rsidR="00ED60E4" w:rsidP="00ED60E4" w:rsidRDefault="009B015B" w14:paraId="3003B6D0" w14:textId="106566D9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SNT kan spilles over to dager (lørdag/søndag), eller tre dager (fredag/lørdag/søndag).</w:t>
      </w:r>
    </w:p>
    <w:p w:rsidRPr="00ED60E4" w:rsidR="00ED60E4" w:rsidP="00ED60E4" w:rsidRDefault="00ED60E4" w14:paraId="1989214E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2.1.7 SPILLEORDNING</w:t>
      </w:r>
    </w:p>
    <w:p w:rsidRPr="00ED60E4" w:rsidR="00ED60E4" w:rsidP="00ED60E4" w:rsidRDefault="00ED60E4" w14:paraId="3CCF7BB6" w14:textId="242B8AA5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I </w:t>
      </w:r>
      <w:r w:rsidR="008D3DC2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yngre klasser skal det spilles puljespill med primært fire spillere i hver pulje, hvorav to går videre til sluttspill. Frem til og med 14-årsklassene skal det ikke benyttes direktekvalifiserte. Fra og med 18-årsklassene avgjør arrangør hvorvidt klassene skal gjennomføres med puljespill eller cup.</w:t>
      </w:r>
    </w:p>
    <w:p w:rsidRPr="00ED60E4" w:rsidR="00ED60E4" w:rsidP="00ED60E4" w:rsidRDefault="00394D07" w14:paraId="3767A24F" w14:textId="3B67049E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Direktekvalifiserte til sluttspillet bør ikke benyttes når det er færre enn 32 spillere i klassen.</w:t>
      </w:r>
    </w:p>
    <w:p w:rsidRPr="00ED60E4" w:rsidR="00ED60E4" w:rsidP="00ED60E4" w:rsidRDefault="00ED60E4" w14:paraId="1DCA94A8" w14:textId="7777777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2.1.8 TIDSSKJEMA</w:t>
      </w:r>
    </w:p>
    <w:p w:rsidRPr="00ED60E4" w:rsidR="00ED60E4" w:rsidP="00ED60E4" w:rsidRDefault="00ED60E4" w14:paraId="7FB5B058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Arrangør skal presentere tidsskjema på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hjemmeside og til hver enkelt deltakende klubb, etter at frist for påmelding er utløpt, og senest en uke før arrangementet. Utkast til tidsskjema skal først oversendes til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TD’en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for vurdering/godkjenning.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TD’en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skal involveres i hele prosessen med utarbeidelse av tidsskjemaet.</w:t>
      </w:r>
    </w:p>
    <w:p w:rsidR="00ED60E4" w:rsidP="00ED60E4" w:rsidRDefault="00ED60E4" w14:paraId="783B0C76" w14:textId="275FDAC1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2.1.9 S</w:t>
      </w:r>
      <w:r w:rsidR="00480EF3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EEDING OG TREKNING</w:t>
      </w:r>
    </w:p>
    <w:p w:rsidR="00480EF3" w:rsidP="00ED60E4" w:rsidRDefault="00480EF3" w14:paraId="7EB9755D" w14:textId="09DA3FC5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eeding i frittstående turneringer gjøres i henholdt til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ranking.</w:t>
      </w:r>
    </w:p>
    <w:p w:rsidR="00480EF3" w:rsidP="00ED60E4" w:rsidRDefault="00FF4815" w14:paraId="1DBC2C85" w14:textId="0B704C34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Seeding i turneringer som inngår i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 gjøres med utgangspunkt i </w:t>
      </w:r>
      <w:proofErr w:type="spellStart"/>
      <w:r w:rsidR="001A0ADB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SBTFs</w:t>
      </w:r>
      <w:proofErr w:type="spellEnd"/>
      <w:r w:rsidR="001A0ADB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og </w:t>
      </w:r>
      <w:proofErr w:type="spellStart"/>
      <w:r w:rsidR="001A0ADB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 w:rsidR="001A0ADB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ranking. </w:t>
      </w:r>
      <w:r w:rsidR="008315F8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Arrangør oversender utkast til seeding til TD og </w:t>
      </w:r>
      <w:proofErr w:type="spellStart"/>
      <w:r w:rsidR="007D6A4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SBTFs</w:t>
      </w:r>
      <w:proofErr w:type="spellEnd"/>
      <w:r w:rsidR="007D6A4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seedingsutskott en uke før stevnet for godkjenning.</w:t>
      </w:r>
    </w:p>
    <w:p w:rsidR="00480EF3" w:rsidP="00ED60E4" w:rsidRDefault="00480EF3" w14:paraId="6C8BEAE8" w14:textId="44D02D99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Trekning skal gjennomføres og publiseres senest klokken 19:00 dagen før konkurransen. Avmelding av spillere skal gjennomføres senest klokken 17:00 dagen før konkurransen.</w:t>
      </w:r>
    </w:p>
    <w:p w:rsidRPr="00ED60E4" w:rsidR="00480EF3" w:rsidP="00ED60E4" w:rsidRDefault="00480EF3" w14:paraId="29456DBA" w14:textId="0B2C567E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</w:p>
    <w:p w:rsidRPr="00ED60E4" w:rsidR="00ED60E4" w:rsidP="00ED60E4" w:rsidRDefault="00ED60E4" w14:paraId="757E8240" w14:textId="04668989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2.1.10 SN</w:t>
      </w:r>
      <w:r w:rsidR="00AB6DA6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T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-POENG</w:t>
      </w:r>
    </w:p>
    <w:p w:rsidR="00ED60E4" w:rsidP="00A90449" w:rsidRDefault="00777212" w14:paraId="74B490B3" w14:textId="7CFAE321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For</w:t>
      </w:r>
      <w:r w:rsidR="009C6BA1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turneringer som inngår i </w:t>
      </w:r>
      <w:proofErr w:type="spellStart"/>
      <w:r w:rsidR="009C6BA1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 w:rsidR="009C6BA1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Tour, gis det poeng </w:t>
      </w:r>
      <w:r w:rsidR="0014300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for kvalifisering til </w:t>
      </w:r>
      <w:proofErr w:type="spellStart"/>
      <w:r w:rsidR="0014300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 w:rsidR="0014300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 </w:t>
      </w:r>
      <w:proofErr w:type="spellStart"/>
      <w:r w:rsidR="0014300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Trophy</w:t>
      </w:r>
      <w:proofErr w:type="spellEnd"/>
      <w:r w:rsidR="0014300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.</w:t>
      </w:r>
      <w:r w:rsidR="000A5E1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Direktivet for </w:t>
      </w:r>
      <w:proofErr w:type="spellStart"/>
      <w:r w:rsidR="000A5E1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 w:rsidR="000A5E1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 gjelder.</w:t>
      </w:r>
      <w:r w:rsidR="0014300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Dette gjelder alle obligatoriske singleklasser i </w:t>
      </w:r>
      <w:proofErr w:type="spellStart"/>
      <w:r w:rsidR="0014300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 w:rsidR="0014300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Tour-systemet. Paraklasser og doubleklasser gir ikke poeng. </w:t>
      </w:r>
    </w:p>
    <w:p w:rsidRPr="00ED60E4" w:rsidR="00143004" w:rsidP="00A90449" w:rsidRDefault="00143004" w14:paraId="0B107D13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</w:p>
    <w:p w:rsidRPr="00F9033B" w:rsidR="00ED60E4" w:rsidP="00ED60E4" w:rsidRDefault="00ED60E4" w14:paraId="6518537F" w14:textId="310C2394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 </w:t>
      </w:r>
      <w:r w:rsidRPr="00F9033B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2.1.1</w:t>
      </w:r>
      <w:r w:rsidRPr="00F9033B" w:rsidR="00BB11ED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1</w:t>
      </w:r>
      <w:r w:rsidRPr="00F9033B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ANTALL SETT</w:t>
      </w:r>
    </w:p>
    <w:p w:rsidRPr="00ED60E4" w:rsidR="009B015B" w:rsidP="00ED60E4" w:rsidRDefault="009B015B" w14:paraId="3FA33E02" w14:textId="07F8A4DF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9B015B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Alle kamper spilles best av fem sett.</w:t>
      </w:r>
    </w:p>
    <w:p w:rsidRPr="00ED60E4" w:rsidR="00ED60E4" w:rsidP="00ED60E4" w:rsidRDefault="00ED60E4" w14:paraId="74E900D7" w14:textId="3FB62CF0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2.1.1</w:t>
      </w:r>
      <w:r w:rsidR="00BB11ED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RESULTATSERVICE</w:t>
      </w:r>
    </w:p>
    <w:p w:rsidRPr="00ED60E4" w:rsidR="00ED60E4" w:rsidP="00ED60E4" w:rsidRDefault="00ED60E4" w14:paraId="29D23802" w14:textId="177F0385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Resultatene skal oppdateres fortløpende på internett.</w:t>
      </w:r>
    </w:p>
    <w:p w:rsidRPr="00ED60E4" w:rsidR="00ED60E4" w:rsidP="00ED60E4" w:rsidRDefault="00ED60E4" w14:paraId="00BB80F8" w14:textId="122C448A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2.1.1</w:t>
      </w:r>
      <w:r w:rsidR="00BB11ED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 xml:space="preserve"> TEKNISK DELEGERT</w:t>
      </w:r>
    </w:p>
    <w:p w:rsidRPr="00ED60E4" w:rsidR="00ED60E4" w:rsidP="00ED60E4" w:rsidRDefault="00ED60E4" w14:paraId="344F4E36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 oppnevner en teknisk delegert – TD – til hvert arrangement.</w:t>
      </w:r>
    </w:p>
    <w:p w:rsidRPr="00ED60E4" w:rsidR="00ED60E4" w:rsidP="00ED60E4" w:rsidRDefault="00ED60E4" w14:paraId="61783639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TD’en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er arrangørens rådgiver før, under og etter arrangementet.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TD’en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har også ansvaret for å kvalitetssikre planleggingen av arrangementet, gjennomføringen av arrangementet og etterarbeidet av arrangementet.</w:t>
      </w:r>
    </w:p>
    <w:p w:rsidRPr="00ED60E4" w:rsidR="00ED60E4" w:rsidP="00ED60E4" w:rsidRDefault="00ED60E4" w14:paraId="5BC50E6C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proofErr w:type="spellStart"/>
      <w:r w:rsidRPr="00ED60E4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>TD’en</w:t>
      </w:r>
      <w:proofErr w:type="spellEnd"/>
      <w:r w:rsidRPr="00ED60E4">
        <w:rPr>
          <w:rFonts w:ascii="Arial" w:hAnsi="Arial" w:eastAsia="Times New Roman" w:cs="Arial"/>
          <w:b/>
          <w:bCs/>
          <w:color w:val="4D4D4D"/>
          <w:kern w:val="0"/>
          <w:sz w:val="24"/>
          <w:szCs w:val="24"/>
          <w:lang w:eastAsia="nb-NO"/>
          <w14:ligatures w14:val="none"/>
        </w:rPr>
        <w:t xml:space="preserve"> skal:</w:t>
      </w:r>
    </w:p>
    <w:p w:rsidRPr="00ED60E4" w:rsidR="00ED60E4" w:rsidP="00ED60E4" w:rsidRDefault="00ED60E4" w14:paraId="31C721FF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godkjenne invitasjonen til arrangementet før den sendes til deltakende klubber</w:t>
      </w:r>
    </w:p>
    <w:p w:rsidRPr="00ED60E4" w:rsidR="00ED60E4" w:rsidP="00ED60E4" w:rsidRDefault="00ED60E4" w14:paraId="3F700888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kvalitetssikre arrangementet, mot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konkurransereglement, mot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tilleggsbestemmelser, samt mot eventuelle NBTF-avtaler, herunder utstyrsavtaler</w:t>
      </w:r>
    </w:p>
    <w:p w:rsidRPr="00ED60E4" w:rsidR="00ED60E4" w:rsidP="00ED60E4" w:rsidRDefault="00ED60E4" w14:paraId="48041B87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være teknisk rådgiver for arrangøren før, under og etter arrangementet</w:t>
      </w:r>
    </w:p>
    <w:p w:rsidRPr="00ED60E4" w:rsidR="00ED60E4" w:rsidP="00ED60E4" w:rsidRDefault="00ED60E4" w14:paraId="60A0E6E1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fylle ut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evalueringsrapport og oversende den til NBTF og arrangøren senest 14 dager etter arrangementet</w:t>
      </w:r>
    </w:p>
    <w:p w:rsidR="00ED60E4" w:rsidP="00ED60E4" w:rsidRDefault="00ED60E4" w14:paraId="17C6219A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TD’ens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reise- og overnattingsutgifter: Se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pkt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2.3.2 </w:t>
      </w:r>
      <w:proofErr w:type="gram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under ”Satser</w:t>
      </w:r>
      <w:proofErr w:type="gram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”.</w:t>
      </w:r>
    </w:p>
    <w:p w:rsidRPr="00ED60E4" w:rsidR="00F9033B" w:rsidP="00ED60E4" w:rsidRDefault="00F9033B" w14:paraId="26FB1282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</w:p>
    <w:p w:rsidRPr="00ED60E4" w:rsidR="00ED60E4" w:rsidP="00ED60E4" w:rsidRDefault="00ED60E4" w14:paraId="0F3F597E" w14:textId="3E4EF6CB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2.</w:t>
      </w:r>
      <w:r w:rsidR="008F4EB3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2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 xml:space="preserve"> DOMMERE</w:t>
      </w:r>
    </w:p>
    <w:p w:rsidRPr="00ED60E4" w:rsidR="00ED60E4" w:rsidP="00ED60E4" w:rsidRDefault="00A90449" w14:paraId="4AE8A1DE" w14:textId="7B13B8CC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Det skal være faste dommere i alle kamper i stevner tilknyttet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Tour.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Det skal være faste dommere i sluttspill i stevner ikke tilknyttet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Tour.</w:t>
      </w:r>
    </w:p>
    <w:p w:rsidRPr="00ED60E4" w:rsidR="00ED60E4" w:rsidP="00ED60E4" w:rsidRDefault="00ED60E4" w14:paraId="5996AD78" w14:textId="25A59AF6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2.</w:t>
      </w:r>
      <w:r w:rsidR="008F4EB3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3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 xml:space="preserve"> UTSTYR</w:t>
      </w:r>
    </w:p>
    <w:p w:rsidRPr="00ED60E4" w:rsidR="00ED60E4" w:rsidP="00ED60E4" w:rsidRDefault="00ED60E4" w14:paraId="79C2734E" w14:textId="13A1B7F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</w:t>
      </w:r>
      <w:r w:rsidR="008F4EB3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.2 SPILLEOMRÅDET</w:t>
      </w:r>
    </w:p>
    <w:p w:rsidRPr="00ED60E4" w:rsidR="00ED60E4" w:rsidP="00ED60E4" w:rsidRDefault="00ED60E4" w14:paraId="33CE6D46" w14:textId="20093798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Spilleområdet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bør være minst 10 m langt, 5 m bredt og 4 m høyt. I kvartfinaler og senere i </w:t>
      </w:r>
      <w:r w:rsidR="00EA2EC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herre- og dameklassene</w:t>
      </w: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skal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spilleområdet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være minst 12 m x 6 m x 4 m. Alle bord bør være fullstendig inngjerdet hver for seg. På hver kortside av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spilleområdet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skal det stå en stol til benyttelse for lagleder.</w:t>
      </w:r>
    </w:p>
    <w:p w:rsidRPr="00ED60E4" w:rsidR="00ED60E4" w:rsidP="00ED60E4" w:rsidRDefault="00ED60E4" w14:paraId="1142ECAD" w14:textId="71A38547">
      <w:pPr>
        <w:shd w:val="clear" w:color="auto" w:fill="FFFFFF"/>
        <w:spacing w:after="100" w:afterAutospacing="1" w:line="240" w:lineRule="auto"/>
        <w:outlineLvl w:val="2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2.</w:t>
      </w:r>
      <w:r w:rsidR="00E30A9C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3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  <w:t>.3 FØRSTEHJELPSUTSTYR</w:t>
      </w:r>
    </w:p>
    <w:p w:rsidRPr="00ED60E4" w:rsidR="00ED60E4" w:rsidP="3A50A9EF" w:rsidRDefault="00ED60E4" w14:paraId="4F7E5EF2" w14:textId="77777777" w14:noSpellErr="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 skal være førstehjelpsutstyr tilgjengelig i hallen.</w:t>
      </w:r>
    </w:p>
    <w:p w:rsidR="3A50A9EF" w:rsidP="3A50A9EF" w:rsidRDefault="3A50A9EF" w14:paraId="4FAB8962" w14:textId="1A45A2E4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="3A50A9EF" w:rsidP="3A50A9EF" w:rsidRDefault="3A50A9EF" w14:paraId="693E5555" w14:textId="261D691A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ED60E4" w:rsidR="00ED60E4" w:rsidP="00ED60E4" w:rsidRDefault="00ED60E4" w14:paraId="3E0D494C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 </w:t>
      </w:r>
    </w:p>
    <w:p w:rsidRPr="00ED60E4" w:rsidR="00ED60E4" w:rsidP="00ED60E4" w:rsidRDefault="00ED60E4" w14:paraId="1EC1CB38" w14:textId="21001E49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2.</w:t>
      </w:r>
      <w:r w:rsidR="00E30A9C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4</w:t>
      </w:r>
      <w:r w:rsidR="00611BA1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 xml:space="preserve"> 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PREMIERING</w:t>
      </w:r>
    </w:p>
    <w:p w:rsidRPr="00ED60E4" w:rsidR="00ED60E4" w:rsidP="009B162C" w:rsidRDefault="00ED60E4" w14:paraId="41808560" w14:textId="00D019D4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b/>
          <w:bCs/>
          <w:color w:val="4D4D4D"/>
          <w:kern w:val="0"/>
          <w:sz w:val="27"/>
          <w:szCs w:val="27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 </w:t>
      </w:r>
    </w:p>
    <w:p w:rsidR="00ED60E4" w:rsidP="001920AB" w:rsidRDefault="001111DF" w14:paraId="0922C1C3" w14:textId="36927691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Arrangør</w:t>
      </w:r>
      <w:r w:rsidR="00D50A48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av turneringer som inngår i </w:t>
      </w:r>
      <w:proofErr w:type="spellStart"/>
      <w:r w:rsidR="00D50A48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 w:rsidR="00D50A48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</w:t>
      </w: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stiller med pengepremier for Herrer single (HS) på 10 000 kroner, og for Damer single (DS) på </w:t>
      </w:r>
      <w:r w:rsidR="00680AD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10 000 kroner, totalt 20 000 kroner. </w:t>
      </w:r>
      <w:r w:rsidR="00680AD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680AD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Dersom det totalt er under 60 spillere i disse to klassene, halveres pengepremiene.</w:t>
      </w:r>
      <w:r w:rsidR="00680AD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br/>
      </w:r>
      <w:r w:rsidR="00680AD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Dersom det totalt er under 30 spillere i disse to klassene, er det ikke krav til pengepremier.</w:t>
      </w:r>
      <w:r w:rsidR="00572865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Para Åpen skal ha samme premiering som </w:t>
      </w:r>
      <w:r w:rsidR="009D148F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Herrer og Damer single, men antallet premier skal være begrenset jf. konkurransereglementet.</w:t>
      </w:r>
    </w:p>
    <w:p w:rsidR="00680AD6" w:rsidP="001920AB" w:rsidRDefault="00E51440" w14:paraId="2DAC85B0" w14:textId="17CDBC96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Fordelingen vil være (1) </w:t>
      </w:r>
      <w:r w:rsidR="00B36F75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4000, (2) 2000, (3-4) 1000, </w:t>
      </w:r>
      <w:r w:rsidR="00DD1688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(5-8) 500.</w:t>
      </w:r>
    </w:p>
    <w:p w:rsidR="005E52C9" w:rsidP="3A50A9EF" w:rsidRDefault="00BA15A4" w14:paraId="00DAE7BA" w14:textId="237D74AF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="00BA15A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H20 og D20 skal også tilbys like pengepremier, totalt </w:t>
      </w:r>
      <w:r w:rsidR="4A34373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4</w:t>
      </w:r>
      <w:r w:rsidR="00AE66A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000 for de to klassene.</w:t>
      </w:r>
    </w:p>
    <w:p w:rsidR="004D6A13" w:rsidP="001920AB" w:rsidRDefault="00D50A48" w14:paraId="4C46279F" w14:textId="38A51AD4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Pengepremier skal betales til konto.</w:t>
      </w:r>
    </w:p>
    <w:p w:rsidRPr="00ED60E4" w:rsidR="00D50A48" w:rsidP="001920AB" w:rsidRDefault="00D50A48" w14:paraId="5C4BC302" w14:textId="725AF4F6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Frittstående turneringer følger vanlige norske regler for premiering.</w:t>
      </w:r>
    </w:p>
    <w:p w:rsidRPr="00D153FC" w:rsidR="00ED60E4" w:rsidP="00D153FC" w:rsidRDefault="00ED60E4" w14:paraId="6DD40273" w14:textId="5B82B065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2.</w:t>
      </w:r>
      <w:r w:rsidR="00E30A9C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5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 xml:space="preserve"> </w:t>
      </w:r>
      <w:r w:rsidR="00A7499B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AVGIFTER OG RAPPORTERING</w:t>
      </w:r>
    </w:p>
    <w:p w:rsidR="00ED60E4" w:rsidP="00ED60E4" w:rsidRDefault="007F25FD" w14:paraId="796EE2CB" w14:textId="3B22342C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For frittstående stevner gjelder vanlig norsk regelverk</w:t>
      </w: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.</w:t>
      </w:r>
    </w:p>
    <w:p w:rsidRPr="00ED60E4" w:rsidR="007F25FD" w:rsidP="00ED60E4" w:rsidRDefault="007F25FD" w14:paraId="50101C81" w14:textId="7DCAC414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For turneringer tilknyttet </w:t>
      </w:r>
      <w:proofErr w:type="spellStart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 gjelder </w:t>
      </w:r>
      <w:r w:rsidR="008F5416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påmeldingsavgifter, arrangementsavgift</w:t>
      </w:r>
      <w:r w:rsidR="008F06B1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, rapportering mv. som det </w:t>
      </w:r>
      <w:proofErr w:type="gramStart"/>
      <w:r w:rsidR="008F06B1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fremgår</w:t>
      </w:r>
      <w:proofErr w:type="gramEnd"/>
      <w:r w:rsidR="008F06B1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i direktivet for </w:t>
      </w:r>
      <w:proofErr w:type="spellStart"/>
      <w:r w:rsidR="008F06B1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Sweden</w:t>
      </w:r>
      <w:proofErr w:type="spellEnd"/>
      <w:r w:rsidR="008F06B1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Tour. </w:t>
      </w:r>
      <w:r w:rsidR="00C27355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Arrangementsavgift skal betales til SBTF og NBTF.</w:t>
      </w:r>
    </w:p>
    <w:p w:rsidRPr="00ED60E4" w:rsidR="00ED60E4" w:rsidP="00ED60E4" w:rsidRDefault="00ED60E4" w14:paraId="2DFF910A" w14:textId="77777777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 </w:t>
      </w:r>
    </w:p>
    <w:p w:rsidRPr="00ED60E4" w:rsidR="00ED60E4" w:rsidP="00ED60E4" w:rsidRDefault="00ED60E4" w14:paraId="406BF9E2" w14:textId="4381B515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2.</w:t>
      </w:r>
      <w:r w:rsidR="00E30A9C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6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 xml:space="preserve"> FORHOLD TIL NBTF</w:t>
      </w:r>
    </w:p>
    <w:p w:rsidRPr="00ED60E4" w:rsidR="00ED60E4" w:rsidP="3A50A9EF" w:rsidRDefault="00ED60E4" w14:paraId="7E7E793E" w14:textId="17BD46E1">
      <w:pPr>
        <w:shd w:val="clear" w:color="auto" w:fill="FFFFFF" w:themeFill="background1"/>
        <w:spacing w:after="100" w:afterAutospacing="on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Arrangøren plikter å forholde seg til de avtaler NBTF har inngått med sponsore</w:t>
      </w:r>
      <w:r w:rsidR="00B20377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r</w:t>
      </w: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. Dette inkluderer bruk av utstyr (bord, barrierer, nett, telleapparater, baller og </w:t>
      </w: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annet )</w:t>
      </w: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som inngår i </w:t>
      </w: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NBTFs</w:t>
      </w:r>
      <w:r w:rsidRPr="00ED60E4" w:rsid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avtale.</w:t>
      </w:r>
    </w:p>
    <w:p w:rsidR="3A50A9EF" w:rsidP="3A50A9EF" w:rsidRDefault="3A50A9EF" w14:paraId="35F0D0CC" w14:textId="2DCF4E39">
      <w:pPr>
        <w:shd w:val="clear" w:color="auto" w:fill="FFFFFF" w:themeFill="background1"/>
        <w:spacing w:afterAutospacing="on" w:line="240" w:lineRule="auto"/>
        <w:rPr>
          <w:rFonts w:ascii="Arial" w:hAnsi="Arial" w:eastAsia="Times New Roman" w:cs="Arial"/>
          <w:color w:val="4D4D4D"/>
          <w:sz w:val="24"/>
          <w:szCs w:val="24"/>
          <w:lang w:eastAsia="nb-NO"/>
        </w:rPr>
      </w:pPr>
    </w:p>
    <w:p w:rsidRPr="00ED60E4" w:rsidR="00ED60E4" w:rsidP="00ED60E4" w:rsidRDefault="00ED60E4" w14:paraId="7240E6BD" w14:textId="1736571C">
      <w:pPr>
        <w:shd w:val="clear" w:color="auto" w:fill="FFFFFF"/>
        <w:spacing w:after="100" w:afterAutospacing="1" w:line="240" w:lineRule="auto"/>
        <w:outlineLvl w:val="1"/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lang w:eastAsia="nb-NO"/>
          <w14:ligatures w14:val="none"/>
        </w:rPr>
      </w:pP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2.</w:t>
      </w:r>
      <w:r w:rsidR="00E30A9C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>7</w:t>
      </w:r>
      <w:r w:rsidRPr="00ED60E4">
        <w:rPr>
          <w:rFonts w:ascii="Arial" w:hAnsi="Arial" w:eastAsia="Times New Roman" w:cs="Arial"/>
          <w:b/>
          <w:bCs/>
          <w:color w:val="4D4D4D"/>
          <w:kern w:val="0"/>
          <w:sz w:val="36"/>
          <w:szCs w:val="36"/>
          <w:u w:val="single"/>
          <w:lang w:eastAsia="nb-NO"/>
          <w14:ligatures w14:val="none"/>
        </w:rPr>
        <w:t xml:space="preserve"> DISPENSASJON</w:t>
      </w:r>
    </w:p>
    <w:p w:rsidR="00ED60E4" w:rsidP="00ED60E4" w:rsidRDefault="00ED60E4" w14:paraId="3EE0E01D" w14:textId="75617CC1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I spesielle tilfeller kan NBTF etter søknad fra arrangør gi dispensasjon fra tilleggsbestemmelsene for den praktiske gjennomføringen av</w:t>
      </w:r>
      <w:r w:rsidR="00EA78F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</w:t>
      </w: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arrangement</w:t>
      </w:r>
      <w:r w:rsidR="00EA78F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et</w:t>
      </w:r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. En endring må være godkjent av NBTF. Dispensasjon skal kun gis dersom det bedømmes å kunne fremme norsk bordtennis, </w:t>
      </w:r>
      <w:proofErr w:type="spellStart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feks</w:t>
      </w:r>
      <w:proofErr w:type="spellEnd"/>
      <w:r w:rsidRPr="00ED60E4"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 xml:space="preserve"> ved å tilrettelegge for media eller andre samarbeidspartnere.</w:t>
      </w:r>
    </w:p>
    <w:p w:rsidRPr="00ED60E4" w:rsidR="00B93125" w:rsidP="00ED60E4" w:rsidRDefault="00B93125" w14:paraId="0C3829E9" w14:textId="04CE364E">
      <w:pPr>
        <w:shd w:val="clear" w:color="auto" w:fill="FFFFFF"/>
        <w:spacing w:after="100" w:afterAutospacing="1" w:line="240" w:lineRule="auto"/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</w:pPr>
      <w:r>
        <w:rPr>
          <w:rFonts w:ascii="Arial" w:hAnsi="Arial" w:eastAsia="Times New Roman" w:cs="Arial"/>
          <w:color w:val="4D4D4D"/>
          <w:kern w:val="0"/>
          <w:sz w:val="24"/>
          <w:szCs w:val="24"/>
          <w:lang w:eastAsia="nb-NO"/>
          <w14:ligatures w14:val="none"/>
        </w:rPr>
        <w:t>Dette er et prøveprosjekt. Endringer i gjennomføringen kan gjøres på kort varsel av NBTF.</w:t>
      </w:r>
    </w:p>
    <w:p w:rsidR="000C0B4F" w:rsidRDefault="000C0B4F" w14:paraId="07D22F6D" w14:textId="77777777"/>
    <w:sectPr w:rsidR="000C0B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098"/>
    <w:multiLevelType w:val="multilevel"/>
    <w:tmpl w:val="D29E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A3F229F"/>
    <w:multiLevelType w:val="multilevel"/>
    <w:tmpl w:val="B084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04B3B4D"/>
    <w:multiLevelType w:val="multilevel"/>
    <w:tmpl w:val="8B3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94600465">
    <w:abstractNumId w:val="0"/>
  </w:num>
  <w:num w:numId="2" w16cid:durableId="1829974760">
    <w:abstractNumId w:val="2"/>
  </w:num>
  <w:num w:numId="3" w16cid:durableId="128707793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E4"/>
    <w:rsid w:val="000A5E1F"/>
    <w:rsid w:val="000C0B4F"/>
    <w:rsid w:val="001074A9"/>
    <w:rsid w:val="001111DF"/>
    <w:rsid w:val="00143004"/>
    <w:rsid w:val="00166F9D"/>
    <w:rsid w:val="001920AB"/>
    <w:rsid w:val="001A0ADB"/>
    <w:rsid w:val="002F6402"/>
    <w:rsid w:val="00394D07"/>
    <w:rsid w:val="003C6F3F"/>
    <w:rsid w:val="004152BD"/>
    <w:rsid w:val="00480EF3"/>
    <w:rsid w:val="004C0565"/>
    <w:rsid w:val="004D6A13"/>
    <w:rsid w:val="00572865"/>
    <w:rsid w:val="00587ACD"/>
    <w:rsid w:val="005D59C9"/>
    <w:rsid w:val="005E06FB"/>
    <w:rsid w:val="005E52C9"/>
    <w:rsid w:val="00604240"/>
    <w:rsid w:val="00611BA1"/>
    <w:rsid w:val="00680AD6"/>
    <w:rsid w:val="006C3BF4"/>
    <w:rsid w:val="00732866"/>
    <w:rsid w:val="00777212"/>
    <w:rsid w:val="007C2864"/>
    <w:rsid w:val="007D6A44"/>
    <w:rsid w:val="007F25FD"/>
    <w:rsid w:val="007F7836"/>
    <w:rsid w:val="008315F8"/>
    <w:rsid w:val="008D3DC2"/>
    <w:rsid w:val="008F06B1"/>
    <w:rsid w:val="008F4EB3"/>
    <w:rsid w:val="008F522A"/>
    <w:rsid w:val="008F5416"/>
    <w:rsid w:val="009B015B"/>
    <w:rsid w:val="009B162C"/>
    <w:rsid w:val="009C6BA1"/>
    <w:rsid w:val="009D148F"/>
    <w:rsid w:val="00A7499B"/>
    <w:rsid w:val="00A90449"/>
    <w:rsid w:val="00AB6DA6"/>
    <w:rsid w:val="00AE66A6"/>
    <w:rsid w:val="00B20377"/>
    <w:rsid w:val="00B320E3"/>
    <w:rsid w:val="00B36F75"/>
    <w:rsid w:val="00B71CF7"/>
    <w:rsid w:val="00B93125"/>
    <w:rsid w:val="00BA15A4"/>
    <w:rsid w:val="00BB11ED"/>
    <w:rsid w:val="00BB33EA"/>
    <w:rsid w:val="00BC1231"/>
    <w:rsid w:val="00BC3CCF"/>
    <w:rsid w:val="00BD04A2"/>
    <w:rsid w:val="00C27355"/>
    <w:rsid w:val="00CA5A20"/>
    <w:rsid w:val="00D153FC"/>
    <w:rsid w:val="00D43FC8"/>
    <w:rsid w:val="00D50A48"/>
    <w:rsid w:val="00DD1688"/>
    <w:rsid w:val="00DD76A4"/>
    <w:rsid w:val="00E30A9C"/>
    <w:rsid w:val="00E51440"/>
    <w:rsid w:val="00E6425E"/>
    <w:rsid w:val="00E82878"/>
    <w:rsid w:val="00EA2EC6"/>
    <w:rsid w:val="00EA78F4"/>
    <w:rsid w:val="00ED60E4"/>
    <w:rsid w:val="00F16DE7"/>
    <w:rsid w:val="00F342C6"/>
    <w:rsid w:val="00F7686A"/>
    <w:rsid w:val="00F9033B"/>
    <w:rsid w:val="00FF4815"/>
    <w:rsid w:val="09728F8A"/>
    <w:rsid w:val="2792C421"/>
    <w:rsid w:val="2B3E60F7"/>
    <w:rsid w:val="3A50A9EF"/>
    <w:rsid w:val="453F46B6"/>
    <w:rsid w:val="4A343736"/>
    <w:rsid w:val="4F473ADE"/>
    <w:rsid w:val="5058323D"/>
    <w:rsid w:val="52168CF2"/>
    <w:rsid w:val="7C882D91"/>
    <w:rsid w:val="7E9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6A61"/>
  <w15:chartTrackingRefBased/>
  <w15:docId w15:val="{95D49796-3C41-4640-AC01-4585D34AEA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60E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60E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6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6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6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6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6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6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6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ED60E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ED60E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ED60E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ED60E4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ED60E4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ED60E4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ED60E4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ED60E4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ED60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D60E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ED60E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6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ED6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D60E4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ED60E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D60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D60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60E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ED60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D6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0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1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7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D0D0D0"/>
                    <w:right w:val="none" w:sz="0" w:space="0" w:color="auto"/>
                  </w:divBdr>
                </w:div>
                <w:div w:id="7559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7" ma:contentTypeDescription="Opprett et nytt dokument." ma:contentTypeScope="" ma:versionID="7c20c63af73eec7f04273487865da64c">
  <xsd:schema xmlns:xsd="http://www.w3.org/2001/XMLSchema" xmlns:xs="http://www.w3.org/2001/XMLSchema" xmlns:p="http://schemas.microsoft.com/office/2006/metadata/properties" xmlns:ns2="48466462-bc3c-4a55-9692-5a55445c2259" xmlns:ns3="9e538389-cabc-4d4e-918a-8beb7ac0ecaa" targetNamespace="http://schemas.microsoft.com/office/2006/metadata/properties" ma:root="true" ma:fieldsID="d4554bd65d4bcc76cd55f099aae56f19" ns2:_="" ns3:_="">
    <xsd:import namespace="48466462-bc3c-4a55-9692-5a55445c2259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04098d-54d4-4325-95e5-1a72a9c9d0af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D9A283D0-6F85-4CC9-929B-253882EC4C01}"/>
</file>

<file path=customXml/itemProps2.xml><?xml version="1.0" encoding="utf-8"?>
<ds:datastoreItem xmlns:ds="http://schemas.openxmlformats.org/officeDocument/2006/customXml" ds:itemID="{0F12C8D9-9A7C-406F-83BA-440A30A4D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E4AE0-888A-4A24-BC53-8ED57E12EDB2}">
  <ds:schemaRefs>
    <ds:schemaRef ds:uri="http://schemas.microsoft.com/office/2006/metadata/properties"/>
    <ds:schemaRef ds:uri="http://schemas.microsoft.com/office/infopath/2007/PartnerControls"/>
    <ds:schemaRef ds:uri="d723a2b7-ab55-4b2f-adc5-d3db66d8fd5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Reite, Karl Børre</dc:creator>
  <cp:keywords/>
  <dc:description/>
  <cp:lastModifiedBy>Reite, Karl Børre</cp:lastModifiedBy>
  <cp:revision>57</cp:revision>
  <cp:lastPrinted>2025-06-23T09:54:00Z</cp:lastPrinted>
  <dcterms:created xsi:type="dcterms:W3CDTF">2025-06-23T09:54:00Z</dcterms:created>
  <dcterms:modified xsi:type="dcterms:W3CDTF">2025-08-14T07:47:04Z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